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eastAsia="zh-CN"/>
        </w:rPr>
        <w:t>宿州市乡村振兴局（原市扶贫开发局）</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2020年度一般公共预算财政</w:t>
      </w:r>
    </w:p>
    <w:p>
      <w:pPr>
        <w:jc w:val="center"/>
        <w:rPr>
          <w:rFonts w:hint="eastAsia" w:ascii="方正小标宋简体" w:hAnsi="宋体" w:eastAsia="方正小标宋简体"/>
          <w:sz w:val="36"/>
          <w:szCs w:val="36"/>
        </w:rPr>
      </w:pPr>
      <w:r>
        <w:rPr>
          <w:rFonts w:hint="eastAsia" w:ascii="方正小标宋简体" w:hAnsi="宋体" w:eastAsia="方正小标宋简体"/>
          <w:sz w:val="36"/>
          <w:szCs w:val="36"/>
        </w:rPr>
        <w:t>拨款“三公”经费支出决算情况说明</w:t>
      </w:r>
    </w:p>
    <w:p>
      <w:pPr>
        <w:jc w:val="center"/>
        <w:rPr>
          <w:rFonts w:hint="eastAsia" w:ascii="楷体_GB2312" w:eastAsia="楷体_GB2312"/>
          <w:szCs w:val="32"/>
        </w:rPr>
      </w:pPr>
    </w:p>
    <w:p>
      <w:pPr>
        <w:adjustRightInd w:val="0"/>
        <w:snapToGrid w:val="0"/>
        <w:spacing w:line="360" w:lineRule="auto"/>
        <w:jc w:val="center"/>
        <w:rPr>
          <w:rFonts w:hint="eastAsia" w:ascii="宋体" w:hAnsi="宋体"/>
          <w:sz w:val="6"/>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一、2020年度一般公共预算财政拨款“三公”经费支出决算表</w:t>
      </w:r>
    </w:p>
    <w:p>
      <w:pPr>
        <w:keepNext w:val="0"/>
        <w:keepLines w:val="0"/>
        <w:pageBreakBefore w:val="0"/>
        <w:kinsoku/>
        <w:wordWrap/>
        <w:overflowPunct/>
        <w:topLinePunct w:val="0"/>
        <w:autoSpaceDE/>
        <w:autoSpaceDN/>
        <w:bidi w:val="0"/>
        <w:adjustRightInd/>
        <w:snapToGrid/>
        <w:spacing w:line="600" w:lineRule="exact"/>
        <w:jc w:val="right"/>
        <w:textAlignment w:val="auto"/>
        <w:rPr>
          <w:rFonts w:hint="eastAsia" w:ascii="黑体" w:hAnsi="黑体" w:eastAsia="黑体"/>
          <w:szCs w:val="32"/>
        </w:rPr>
      </w:pPr>
      <w:r>
        <w:rPr>
          <w:rFonts w:hint="eastAsia" w:ascii="仿宋_GB2312" w:hAnsi="仿宋_GB2312" w:cs="仿宋_GB2312"/>
          <w:szCs w:val="32"/>
        </w:rPr>
        <w:t>单位：万元</w:t>
      </w:r>
    </w:p>
    <w:tbl>
      <w:tblPr>
        <w:tblStyle w:val="2"/>
        <w:tblpPr w:leftFromText="180" w:rightFromText="180" w:vertAnchor="text" w:horzAnchor="margin" w:tblpY="454"/>
        <w:tblOverlap w:val="never"/>
        <w:tblW w:w="8756" w:type="dxa"/>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2.0　</w:t>
            </w:r>
          </w:p>
        </w:tc>
        <w:tc>
          <w:tcPr>
            <w:tcW w:w="22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b/>
                <w:bCs/>
                <w:kern w:val="0"/>
                <w:szCs w:val="21"/>
              </w:rPr>
            </w:pPr>
            <w:r>
              <w:rPr>
                <w:rFonts w:hint="eastAsia" w:ascii="宋体" w:hAnsi="宋体" w:cs="宋体"/>
                <w:b/>
                <w:bCs/>
                <w:kern w:val="0"/>
                <w:szCs w:val="21"/>
              </w:rPr>
              <w:t>0.7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c>
          <w:tcPr>
            <w:tcW w:w="222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2.0</w:t>
            </w:r>
          </w:p>
        </w:tc>
        <w:tc>
          <w:tcPr>
            <w:tcW w:w="222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0.7</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c>
          <w:tcPr>
            <w:tcW w:w="222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c>
          <w:tcPr>
            <w:tcW w:w="222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宋体" w:hAnsi="宋体" w:cs="宋体"/>
                <w:kern w:val="0"/>
                <w:szCs w:val="21"/>
              </w:rPr>
            </w:pPr>
            <w:r>
              <w:rPr>
                <w:rFonts w:hint="eastAsia" w:ascii="宋体" w:hAnsi="宋体" w:cs="宋体"/>
                <w:kern w:val="0"/>
                <w:szCs w:val="21"/>
              </w:rPr>
              <w:t>0</w:t>
            </w:r>
          </w:p>
        </w:tc>
        <w:tc>
          <w:tcPr>
            <w:tcW w:w="2220" w:type="dxa"/>
            <w:tcBorders>
              <w:top w:val="nil"/>
              <w:left w:val="nil"/>
              <w:bottom w:val="single" w:color="auto" w:sz="4" w:space="0"/>
              <w:right w:val="single" w:color="auto" w:sz="4" w:space="0"/>
            </w:tcBorders>
            <w:noWrap w:val="0"/>
            <w:vAlign w:val="bottom"/>
          </w:tcPr>
          <w:p>
            <w:pPr>
              <w:keepNext w:val="0"/>
              <w:keepLines w:val="0"/>
              <w:pageBreakBefore w:val="0"/>
              <w:widowControl/>
              <w:kinsoku/>
              <w:wordWrap/>
              <w:overflowPunct/>
              <w:topLinePunct w:val="0"/>
              <w:autoSpaceDE/>
              <w:autoSpaceDN/>
              <w:bidi w:val="0"/>
              <w:adjustRightInd/>
              <w:snapToGrid/>
              <w:spacing w:line="600" w:lineRule="exact"/>
              <w:ind w:firstLine="320" w:firstLineChars="100"/>
              <w:jc w:val="center"/>
              <w:textAlignment w:val="auto"/>
              <w:rPr>
                <w:rFonts w:ascii="宋体" w:hAnsi="宋体" w:cs="宋体"/>
                <w:kern w:val="0"/>
                <w:szCs w:val="21"/>
              </w:rPr>
            </w:pPr>
            <w:r>
              <w:rPr>
                <w:rFonts w:hint="eastAsia" w:ascii="宋体" w:hAnsi="宋体" w:cs="宋体"/>
                <w:kern w:val="0"/>
                <w:szCs w:val="21"/>
              </w:rPr>
              <w:t>0</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Cs w:val="32"/>
        </w:rPr>
      </w:pPr>
      <w:r>
        <w:rPr>
          <w:rFonts w:hint="eastAsia" w:ascii="黑体" w:hAnsi="黑体" w:eastAsia="黑体"/>
          <w:szCs w:val="32"/>
        </w:rPr>
        <w:t xml:space="preserve">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Cs w:val="32"/>
        </w:rPr>
      </w:pPr>
      <w:r>
        <w:rPr>
          <w:rFonts w:ascii="黑体" w:hAnsi="黑体" w:eastAsia="黑体"/>
          <w:szCs w:val="32"/>
        </w:rPr>
        <w:t xml:space="preserve">    </w:t>
      </w:r>
      <w:r>
        <w:rPr>
          <w:rFonts w:hint="eastAsia" w:ascii="黑体" w:hAnsi="黑体" w:eastAsia="黑体"/>
          <w:szCs w:val="32"/>
        </w:rPr>
        <w:t>二</w:t>
      </w:r>
      <w:r>
        <w:rPr>
          <w:rFonts w:ascii="黑体" w:hAnsi="黑体" w:eastAsia="黑体"/>
          <w:szCs w:val="32"/>
        </w:rPr>
        <w:t>、2020年</w:t>
      </w:r>
      <w:r>
        <w:rPr>
          <w:rFonts w:hint="eastAsia" w:ascii="黑体" w:hAnsi="黑体" w:eastAsia="黑体"/>
          <w:szCs w:val="32"/>
        </w:rPr>
        <w:t>度一般公共预算财政拨款“三公”经费支出</w:t>
      </w:r>
      <w:r>
        <w:rPr>
          <w:rFonts w:ascii="黑体" w:hAnsi="黑体" w:eastAsia="黑体"/>
          <w:szCs w:val="32"/>
        </w:rPr>
        <w:t>情况说明</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仿宋" w:eastAsia="楷体_GB2312"/>
          <w:b/>
          <w:szCs w:val="32"/>
        </w:rPr>
      </w:pPr>
      <w:r>
        <w:rPr>
          <w:rFonts w:hint="eastAsia" w:ascii="楷体_GB2312" w:hAnsi="仿宋" w:eastAsia="楷体_GB2312"/>
          <w:b/>
          <w:szCs w:val="32"/>
        </w:rPr>
        <w:t>（一）一般公共预算财政拨款“三公”经费支出决算总体情况说明。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szCs w:val="32"/>
        </w:rPr>
      </w:pPr>
      <w:r>
        <w:rPr>
          <w:rFonts w:hint="eastAsia" w:ascii="仿宋_GB2312" w:hAnsi="仿宋"/>
          <w:szCs w:val="32"/>
        </w:rPr>
        <w:t>宿州市扶贫开发局2020年度一般公共预算财政拨款“三公”经费支出预算为2万元，支出决算为0.7万元，完成预算的35%，决算数小于预算数的主要原因是严格执行中央八项规定精神。为全面反映“三公”经费支出，本次公布的“三公”经费决算为单位汇总数，包含单位本级和</w:t>
      </w:r>
      <w:r>
        <w:rPr>
          <w:rFonts w:hint="eastAsia" w:ascii="仿宋_GB2312" w:hAnsi="仿宋"/>
          <w:color w:val="000000"/>
          <w:szCs w:val="32"/>
        </w:rPr>
        <w:t>所</w:t>
      </w:r>
      <w:r>
        <w:rPr>
          <w:rFonts w:hint="eastAsia" w:ascii="仿宋_GB2312" w:hAnsi="仿宋"/>
          <w:szCs w:val="32"/>
        </w:rPr>
        <w:t>属单位。</w:t>
      </w:r>
    </w:p>
    <w:p>
      <w:pPr>
        <w:keepNext w:val="0"/>
        <w:keepLines w:val="0"/>
        <w:pageBreakBefore w:val="0"/>
        <w:kinsoku/>
        <w:wordWrap/>
        <w:overflowPunct/>
        <w:topLinePunct w:val="0"/>
        <w:autoSpaceDE/>
        <w:autoSpaceDN/>
        <w:bidi w:val="0"/>
        <w:adjustRightInd/>
        <w:snapToGrid/>
        <w:spacing w:line="600" w:lineRule="exact"/>
        <w:ind w:firstLine="642" w:firstLineChars="200"/>
        <w:textAlignment w:val="auto"/>
        <w:rPr>
          <w:rFonts w:hint="eastAsia" w:ascii="楷体_GB2312" w:hAnsi="仿宋" w:eastAsia="楷体_GB2312"/>
          <w:b/>
          <w:szCs w:val="32"/>
        </w:rPr>
      </w:pPr>
      <w:r>
        <w:rPr>
          <w:rFonts w:hint="eastAsia" w:ascii="楷体_GB2312" w:hAnsi="仿宋" w:eastAsia="楷体_GB2312"/>
          <w:b/>
          <w:szCs w:val="32"/>
        </w:rPr>
        <w:t>（二）一般公共预算财政拨款“三公”经费支出决算具体情况说明。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szCs w:val="32"/>
        </w:rPr>
      </w:pPr>
      <w:r>
        <w:rPr>
          <w:rFonts w:hint="eastAsia" w:ascii="仿宋_GB2312" w:hAnsi="仿宋"/>
          <w:szCs w:val="32"/>
        </w:rPr>
        <w:t>宿州市扶贫开发局2020年度一般公共预算财政拨款“三公”经费支出决算中，因公出国（境）费支出决算0万元，占0.0%;公务接待费支出决算0.7万元，占100%；公务用车购置及运行维护费支出决算0万元，占0.0%。具体情况如下：</w:t>
      </w:r>
    </w:p>
    <w:p>
      <w:pPr>
        <w:keepNext w:val="0"/>
        <w:keepLines w:val="0"/>
        <w:pageBreakBefore w:val="0"/>
        <w:kinsoku/>
        <w:wordWrap/>
        <w:overflowPunct/>
        <w:topLinePunct w:val="0"/>
        <w:autoSpaceDE/>
        <w:autoSpaceDN/>
        <w:bidi w:val="0"/>
        <w:adjustRightInd/>
        <w:snapToGrid/>
        <w:spacing w:line="600" w:lineRule="exact"/>
        <w:ind w:firstLine="628"/>
        <w:textAlignment w:val="auto"/>
        <w:rPr>
          <w:rFonts w:ascii="仿宋_GB2312" w:hAnsi="仿宋"/>
          <w:szCs w:val="32"/>
        </w:rPr>
      </w:pPr>
      <w:r>
        <w:rPr>
          <w:rFonts w:hint="eastAsia" w:ascii="仿宋_GB2312" w:hAnsi="仿宋"/>
          <w:szCs w:val="32"/>
        </w:rPr>
        <w:t>1.因公出国（境）费支出0万元，与2020年度预算相比，减少0万元，下降0.0</w:t>
      </w:r>
      <w:bookmarkStart w:id="0" w:name="_GoBack"/>
      <w:bookmarkEnd w:id="0"/>
      <w:r>
        <w:rPr>
          <w:rFonts w:hint="eastAsia" w:ascii="仿宋_GB2312" w:hAnsi="仿宋"/>
          <w:szCs w:val="32"/>
        </w:rPr>
        <w:t>%，原因是</w:t>
      </w:r>
      <w:r>
        <w:rPr>
          <w:rFonts w:hint="eastAsia" w:ascii="仿宋_GB2312" w:hAnsi="仿宋"/>
          <w:sz w:val="30"/>
          <w:szCs w:val="30"/>
        </w:rPr>
        <w:t>2020年度未安排因公出国（境）计划。</w:t>
      </w:r>
      <w:r>
        <w:rPr>
          <w:rFonts w:hint="eastAsia" w:ascii="仿宋_GB2312" w:hAnsi="仿宋"/>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28"/>
        <w:textAlignment w:val="auto"/>
        <w:rPr>
          <w:rFonts w:hint="eastAsia" w:ascii="仿宋_GB2312" w:hAnsi="仿宋"/>
          <w:szCs w:val="32"/>
        </w:rPr>
      </w:pPr>
      <w:r>
        <w:rPr>
          <w:rFonts w:hint="eastAsia" w:ascii="仿宋_GB2312" w:hAnsi="仿宋"/>
          <w:szCs w:val="32"/>
        </w:rPr>
        <w:t>2.公务接待费支出0.7万元, 与2020年度预算相比，减少1.3万元，下降65%，下降的原因是严格执行中央八项规定精神。</w:t>
      </w:r>
      <w:r>
        <w:rPr>
          <w:rFonts w:hint="eastAsia" w:ascii="仿宋_GB2312" w:hAnsi="仿宋"/>
          <w:color w:val="auto"/>
          <w:szCs w:val="32"/>
        </w:rPr>
        <w:t>2020年宿州市扶贫开发局国内公务接待共</w:t>
      </w:r>
      <w:r>
        <w:rPr>
          <w:rFonts w:hint="eastAsia" w:ascii="仿宋_GB2312" w:hAnsi="仿宋"/>
          <w:color w:val="auto"/>
          <w:szCs w:val="32"/>
          <w:lang w:val="en-US" w:eastAsia="zh-CN"/>
        </w:rPr>
        <w:t>127</w:t>
      </w:r>
      <w:r>
        <w:rPr>
          <w:rFonts w:hint="eastAsia" w:ascii="仿宋_GB2312" w:hAnsi="仿宋"/>
          <w:color w:val="auto"/>
          <w:szCs w:val="32"/>
        </w:rPr>
        <w:t>批次（其中外事接待</w:t>
      </w:r>
      <w:r>
        <w:rPr>
          <w:rFonts w:hint="eastAsia" w:ascii="仿宋_GB2312" w:hAnsi="仿宋"/>
          <w:color w:val="auto"/>
          <w:szCs w:val="32"/>
          <w:lang w:val="en-US" w:eastAsia="zh-CN"/>
        </w:rPr>
        <w:t>0</w:t>
      </w:r>
      <w:r>
        <w:rPr>
          <w:rFonts w:hint="eastAsia" w:ascii="仿宋_GB2312" w:hAnsi="仿宋"/>
          <w:color w:val="auto"/>
          <w:szCs w:val="32"/>
        </w:rPr>
        <w:t>批次），</w:t>
      </w:r>
      <w:r>
        <w:rPr>
          <w:rFonts w:hint="eastAsia" w:ascii="仿宋_GB2312" w:hAnsi="仿宋"/>
          <w:color w:val="auto"/>
          <w:szCs w:val="32"/>
          <w:lang w:val="en-US" w:eastAsia="zh-CN"/>
        </w:rPr>
        <w:t>0</w:t>
      </w:r>
      <w:r>
        <w:rPr>
          <w:rFonts w:hint="eastAsia" w:ascii="仿宋_GB2312" w:hAnsi="仿宋"/>
          <w:color w:val="auto"/>
          <w:szCs w:val="32"/>
        </w:rPr>
        <w:t>人次（其中外事接待</w:t>
      </w:r>
      <w:r>
        <w:rPr>
          <w:rFonts w:hint="eastAsia" w:ascii="仿宋_GB2312" w:hAnsi="仿宋"/>
          <w:color w:val="auto"/>
          <w:szCs w:val="32"/>
          <w:lang w:val="en-US" w:eastAsia="zh-CN"/>
        </w:rPr>
        <w:t>0</w:t>
      </w:r>
      <w:r>
        <w:rPr>
          <w:rFonts w:hint="eastAsia" w:ascii="仿宋_GB2312" w:hAnsi="仿宋"/>
          <w:color w:val="auto"/>
          <w:szCs w:val="32"/>
        </w:rPr>
        <w:t>人次）。主要是用于</w:t>
      </w:r>
      <w:r>
        <w:rPr>
          <w:rFonts w:hint="eastAsia" w:ascii="仿宋_GB2312" w:hAnsi="仿宋"/>
          <w:color w:val="auto"/>
          <w:szCs w:val="32"/>
          <w:lang w:eastAsia="zh-CN"/>
        </w:rPr>
        <w:t>开展脱贫攻坚工作</w:t>
      </w:r>
      <w:r>
        <w:rPr>
          <w:rFonts w:hint="eastAsia" w:ascii="仿宋_GB2312" w:hAnsi="仿宋"/>
          <w:color w:val="auto"/>
          <w:szCs w:val="32"/>
        </w:rPr>
        <w:t>。</w:t>
      </w:r>
      <w:r>
        <w:rPr>
          <w:rFonts w:hint="eastAsia" w:ascii="仿宋_GB2312" w:hAnsi="仿宋"/>
          <w:szCs w:val="32"/>
        </w:rPr>
        <w:t>经费使用贯彻落实党中央“八项规定”和省市实施细则，严格执行《党政机关厉行节约反对浪费条例》《宿州市市直机关公务接待管理暂行办法》（宿财行[2015]4号）等相关规定。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szCs w:val="32"/>
        </w:rPr>
      </w:pPr>
      <w:r>
        <w:rPr>
          <w:rFonts w:hint="eastAsia" w:ascii="仿宋_GB2312" w:hAnsi="仿宋"/>
          <w:szCs w:val="32"/>
        </w:rPr>
        <w:t>3.公务用车购置及运行维护费支出0万元，与2020年度预算相比，减少0万元，下降0.0%，原因是预算未安排，未发生相关支出。其中，公务用车购置费0万元，与2020年度预算相比，减少0万元，下降0.0%，预算未安排，未发生相关支出。2020年购置公务用车0辆</w:t>
      </w:r>
      <w:r>
        <w:rPr>
          <w:rFonts w:hint="eastAsia" w:ascii="楷体_GB2312" w:hAnsi="仿宋" w:eastAsia="楷体_GB2312"/>
          <w:szCs w:val="32"/>
        </w:rPr>
        <w:t>。</w:t>
      </w:r>
      <w:r>
        <w:rPr>
          <w:rFonts w:hint="eastAsia" w:ascii="仿宋_GB2312" w:hAnsi="仿宋"/>
          <w:szCs w:val="32"/>
        </w:rPr>
        <w:t>公务用车运行维护费0万元，与2020年度预算相比，减少0万元，下降0.0%，原因是预算未安排，未发生相关支出。截至2020年12月31日，宿州市扶贫开发局机关及所属单位开支财政拨款的公务用车保有量为0辆。</w:t>
      </w: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831492"/>
    <w:rsid w:val="16D02A5D"/>
    <w:rsid w:val="1C054600"/>
    <w:rsid w:val="1D831492"/>
    <w:rsid w:val="24406391"/>
    <w:rsid w:val="294B0B9B"/>
    <w:rsid w:val="38032FE8"/>
    <w:rsid w:val="38A32D3F"/>
    <w:rsid w:val="41703AF8"/>
    <w:rsid w:val="459C2E6E"/>
    <w:rsid w:val="547B458F"/>
    <w:rsid w:val="62B61500"/>
    <w:rsid w:val="72AC73EE"/>
    <w:rsid w:val="752B4922"/>
    <w:rsid w:val="7ACA77C0"/>
    <w:rsid w:val="EFDDD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2021-09-28T11:18:00Z</dcterms:created>
  <dc:creator>.</dc:creator>
  <cp:lastModifiedBy>greatwall</cp:lastModifiedBy>
  <dcterms:modified xsi:type="dcterms:W3CDTF">2022-05-25T09:30:41Z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